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5AFFD" w14:textId="77777777" w:rsidR="001A0ECD" w:rsidRPr="00487C58" w:rsidRDefault="001A0ECD" w:rsidP="001A0ECD">
      <w:pPr>
        <w:pStyle w:val="NormalWeb"/>
        <w:widowControl w:val="0"/>
        <w:spacing w:before="0" w:beforeAutospacing="0" w:after="0" w:afterAutospacing="0"/>
        <w:jc w:val="both"/>
        <w:divId w:val="181632622"/>
        <w:rPr>
          <w:rFonts w:ascii="Arial" w:hAnsi="Arial"/>
          <w:sz w:val="20"/>
        </w:rPr>
      </w:pPr>
      <w:bookmarkStart w:id="0" w:name="_bclPageBorder56"/>
      <w:bookmarkEnd w:id="0"/>
      <w:r w:rsidRPr="00487C58">
        <w:rPr>
          <w:rFonts w:ascii="Arial" w:hAnsi="Arial" w:cs="Arial"/>
          <w:b/>
          <w:bCs/>
          <w:sz w:val="20"/>
          <w:szCs w:val="20"/>
        </w:rPr>
        <w:t>Ap32</w:t>
      </w:r>
    </w:p>
    <w:p w14:paraId="721D7086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6E72A8EE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right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 xml:space="preserve">SUPPLEMENTAL FORM 8 </w:t>
      </w:r>
    </w:p>
    <w:p w14:paraId="3FC7B42A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right"/>
        <w:divId w:val="181632622"/>
        <w:rPr>
          <w:rFonts w:ascii="Arial" w:hAnsi="Arial" w:cs="Arial"/>
          <w:b/>
          <w:bCs/>
          <w:sz w:val="17"/>
          <w:szCs w:val="15"/>
        </w:rPr>
      </w:pPr>
    </w:p>
    <w:p w14:paraId="6B5772EA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center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>IRISH TAKEOVER PANEL</w:t>
      </w:r>
    </w:p>
    <w:p w14:paraId="14E07C0A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center"/>
        <w:divId w:val="181632622"/>
        <w:rPr>
          <w:rFonts w:ascii="Arial" w:hAnsi="Arial"/>
          <w:sz w:val="17"/>
        </w:rPr>
      </w:pPr>
    </w:p>
    <w:p w14:paraId="03033705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center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 xml:space="preserve">DISCLOSURE UNDER RULE 8.1, RULE 8.3, RULE 38.5(b) AND </w:t>
      </w:r>
      <w:r>
        <w:rPr>
          <w:rFonts w:ascii="Arial" w:hAnsi="Arial" w:cs="Arial"/>
          <w:b/>
          <w:bCs/>
          <w:sz w:val="17"/>
          <w:szCs w:val="15"/>
        </w:rPr>
        <w:br/>
      </w:r>
      <w:r w:rsidRPr="00C759D8">
        <w:rPr>
          <w:rFonts w:ascii="Arial" w:hAnsi="Arial" w:cs="Arial"/>
          <w:b/>
          <w:bCs/>
          <w:sz w:val="17"/>
          <w:szCs w:val="15"/>
        </w:rPr>
        <w:t xml:space="preserve">RULE 38.6 OF THE IRISH TAKEOVER PANEL ACT, 1997, </w:t>
      </w:r>
      <w:r>
        <w:rPr>
          <w:rFonts w:ascii="Arial" w:hAnsi="Arial" w:cs="Arial"/>
          <w:b/>
          <w:bCs/>
          <w:sz w:val="17"/>
          <w:szCs w:val="15"/>
        </w:rPr>
        <w:br/>
      </w:r>
      <w:r w:rsidRPr="00C759D8">
        <w:rPr>
          <w:rFonts w:ascii="Arial" w:hAnsi="Arial" w:cs="Arial"/>
          <w:b/>
          <w:bCs/>
          <w:sz w:val="17"/>
          <w:szCs w:val="15"/>
        </w:rPr>
        <w:t xml:space="preserve">TAKEOVER RULES, 2022 </w:t>
      </w:r>
    </w:p>
    <w:p w14:paraId="2D6274D0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center"/>
        <w:divId w:val="181632622"/>
        <w:rPr>
          <w:rFonts w:ascii="Arial" w:hAnsi="Arial" w:cs="Arial"/>
          <w:b/>
          <w:bCs/>
          <w:sz w:val="17"/>
          <w:szCs w:val="15"/>
        </w:rPr>
      </w:pPr>
    </w:p>
    <w:p w14:paraId="352819AB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center"/>
        <w:divId w:val="181632622"/>
        <w:rPr>
          <w:rFonts w:ascii="Arial" w:hAnsi="Arial"/>
          <w:sz w:val="17"/>
        </w:rPr>
      </w:pPr>
      <w:r w:rsidRPr="00C759D8">
        <w:rPr>
          <w:rFonts w:ascii="Arial" w:hAnsi="Arial" w:cs="Arial"/>
          <w:b/>
          <w:bCs/>
          <w:sz w:val="17"/>
          <w:szCs w:val="15"/>
        </w:rPr>
        <w:t>DETAILS OF OPEN STOCK-SETTLED DERIVATIVE (INCLUDING</w:t>
      </w:r>
      <w:r>
        <w:rPr>
          <w:rFonts w:ascii="Arial" w:hAnsi="Arial" w:cs="Arial"/>
          <w:b/>
          <w:bCs/>
          <w:sz w:val="17"/>
          <w:szCs w:val="15"/>
        </w:rPr>
        <w:br/>
      </w:r>
      <w:r w:rsidRPr="00C759D8">
        <w:rPr>
          <w:rFonts w:ascii="Arial" w:hAnsi="Arial" w:cs="Arial"/>
          <w:b/>
          <w:bCs/>
          <w:sz w:val="17"/>
          <w:szCs w:val="15"/>
        </w:rPr>
        <w:t xml:space="preserve">OPTION) POSITIONS, AGREEMENTS TO PURCHASE OR SELL AND </w:t>
      </w:r>
      <w:r>
        <w:rPr>
          <w:rFonts w:ascii="Arial" w:hAnsi="Arial" w:cs="Arial"/>
          <w:b/>
          <w:bCs/>
          <w:sz w:val="17"/>
          <w:szCs w:val="15"/>
        </w:rPr>
        <w:br/>
      </w:r>
      <w:r w:rsidRPr="00C759D8">
        <w:rPr>
          <w:rFonts w:ascii="Arial" w:hAnsi="Arial" w:cs="Arial"/>
          <w:b/>
          <w:bCs/>
          <w:sz w:val="17"/>
          <w:szCs w:val="15"/>
        </w:rPr>
        <w:t>RIGHTS TO SUBSCRIBE FOR NEW SECURITIES</w:t>
      </w:r>
    </w:p>
    <w:p w14:paraId="5E6D9840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2D76B501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1440" w:right="720" w:hanging="720"/>
        <w:jc w:val="both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>1.</w:t>
      </w:r>
      <w:r>
        <w:rPr>
          <w:rFonts w:ascii="Arial" w:hAnsi="Arial" w:cs="Arial"/>
          <w:b/>
          <w:bCs/>
          <w:sz w:val="17"/>
          <w:szCs w:val="15"/>
        </w:rPr>
        <w:tab/>
      </w:r>
      <w:r w:rsidRPr="00C759D8">
        <w:rPr>
          <w:rFonts w:ascii="Arial" w:hAnsi="Arial" w:cs="Arial"/>
          <w:b/>
          <w:bCs/>
          <w:sz w:val="17"/>
          <w:szCs w:val="15"/>
        </w:rPr>
        <w:t>KEY INFORMATION</w:t>
      </w:r>
    </w:p>
    <w:p w14:paraId="3E0AB477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tbl>
      <w:tblPr>
        <w:tblW w:w="3942" w:type="pct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497"/>
      </w:tblGrid>
      <w:tr w:rsidR="001A0ECD" w:rsidRPr="00C759D8" w14:paraId="70825F25" w14:textId="77777777" w:rsidTr="001A0ECD">
        <w:trPr>
          <w:divId w:val="181632622"/>
        </w:trPr>
        <w:tc>
          <w:tcPr>
            <w:tcW w:w="2717" w:type="pct"/>
            <w:hideMark/>
          </w:tcPr>
          <w:p w14:paraId="3BBA0F8C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7"/>
              </w:rPr>
            </w:pP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Full name of person making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>
              <w:rPr>
                <w:rFonts w:ascii="Arial" w:eastAsia="Times New Roman" w:hAnsi="Arial"/>
                <w:sz w:val="17"/>
              </w:rPr>
              <w:br/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disclosure:</w:t>
            </w:r>
          </w:p>
        </w:tc>
        <w:tc>
          <w:tcPr>
            <w:tcW w:w="2283" w:type="pct"/>
          </w:tcPr>
          <w:p w14:paraId="6BF35149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</w:pPr>
          </w:p>
        </w:tc>
      </w:tr>
      <w:tr w:rsidR="001A0ECD" w:rsidRPr="00C759D8" w14:paraId="68A63FB7" w14:textId="77777777" w:rsidTr="001A0ECD">
        <w:trPr>
          <w:divId w:val="181632622"/>
        </w:trPr>
        <w:tc>
          <w:tcPr>
            <w:tcW w:w="2717" w:type="pct"/>
            <w:hideMark/>
          </w:tcPr>
          <w:p w14:paraId="5488F192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7"/>
              </w:rPr>
            </w:pP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Name of offeror/offeree in relation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>
              <w:rPr>
                <w:rFonts w:ascii="Arial" w:eastAsia="Times New Roman" w:hAnsi="Arial"/>
                <w:sz w:val="17"/>
              </w:rPr>
              <w:br/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to whose relevant securities the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>
              <w:rPr>
                <w:rFonts w:ascii="Arial" w:eastAsia="Times New Roman" w:hAnsi="Arial"/>
                <w:sz w:val="17"/>
              </w:rPr>
              <w:br/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disclosure relates:</w:t>
            </w:r>
          </w:p>
        </w:tc>
        <w:tc>
          <w:tcPr>
            <w:tcW w:w="2283" w:type="pct"/>
          </w:tcPr>
          <w:p w14:paraId="24A853DE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</w:pPr>
          </w:p>
        </w:tc>
      </w:tr>
    </w:tbl>
    <w:p w14:paraId="4CE7480A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5FC38B70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1440" w:right="720" w:hanging="720"/>
        <w:jc w:val="both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>2.</w:t>
      </w:r>
      <w:r>
        <w:rPr>
          <w:rFonts w:ascii="Arial" w:hAnsi="Arial" w:cs="Arial"/>
          <w:b/>
          <w:bCs/>
          <w:sz w:val="17"/>
          <w:szCs w:val="15"/>
        </w:rPr>
        <w:tab/>
      </w:r>
      <w:r w:rsidRPr="00C759D8">
        <w:rPr>
          <w:rFonts w:ascii="Arial" w:hAnsi="Arial" w:cs="Arial"/>
          <w:b/>
          <w:bCs/>
          <w:sz w:val="17"/>
          <w:szCs w:val="15"/>
        </w:rPr>
        <w:t>STOCK-SETTLED DERIVATIVES (INCLUDING OPTIONS)</w:t>
      </w:r>
    </w:p>
    <w:p w14:paraId="6BC91F6D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tbl>
      <w:tblPr>
        <w:tblW w:w="3953" w:type="pct"/>
        <w:tblInd w:w="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884"/>
        <w:gridCol w:w="811"/>
        <w:gridCol w:w="943"/>
        <w:gridCol w:w="728"/>
        <w:gridCol w:w="752"/>
        <w:gridCol w:w="554"/>
      </w:tblGrid>
      <w:tr w:rsidR="001A0ECD" w:rsidRPr="00200D7E" w14:paraId="38C2204C" w14:textId="77777777" w:rsidTr="001A0ECD">
        <w:trPr>
          <w:divId w:val="181632622"/>
        </w:trPr>
        <w:tc>
          <w:tcPr>
            <w:tcW w:w="739" w:type="pct"/>
            <w:hideMark/>
          </w:tcPr>
          <w:p w14:paraId="1DC78D57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Class of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relevant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security</w:t>
            </w:r>
          </w:p>
        </w:tc>
        <w:tc>
          <w:tcPr>
            <w:tcW w:w="805" w:type="pct"/>
            <w:hideMark/>
          </w:tcPr>
          <w:p w14:paraId="0B85F616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Product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description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i/>
                <w:iCs/>
                <w:sz w:val="13"/>
                <w:szCs w:val="15"/>
              </w:rPr>
              <w:t>e.g. call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i/>
                <w:iCs/>
                <w:sz w:val="13"/>
                <w:szCs w:val="15"/>
              </w:rPr>
              <w:t>option</w:t>
            </w:r>
          </w:p>
        </w:tc>
        <w:tc>
          <w:tcPr>
            <w:tcW w:w="740" w:type="pct"/>
            <w:hideMark/>
          </w:tcPr>
          <w:p w14:paraId="2D3E554D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Written or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purchased</w:t>
            </w:r>
          </w:p>
        </w:tc>
        <w:tc>
          <w:tcPr>
            <w:tcW w:w="860" w:type="pct"/>
            <w:hideMark/>
          </w:tcPr>
          <w:p w14:paraId="4B5B445D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Number of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securities to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which option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or derivative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relates</w:t>
            </w:r>
          </w:p>
        </w:tc>
        <w:tc>
          <w:tcPr>
            <w:tcW w:w="664" w:type="pct"/>
            <w:hideMark/>
          </w:tcPr>
          <w:p w14:paraId="075A7204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Exercise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price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per unit</w:t>
            </w:r>
          </w:p>
        </w:tc>
        <w:tc>
          <w:tcPr>
            <w:tcW w:w="686" w:type="pct"/>
            <w:hideMark/>
          </w:tcPr>
          <w:p w14:paraId="33D4A8D8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Type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i/>
                <w:iCs/>
                <w:sz w:val="13"/>
                <w:szCs w:val="15"/>
              </w:rPr>
              <w:t>e.g.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i/>
                <w:iCs/>
                <w:sz w:val="13"/>
                <w:szCs w:val="15"/>
              </w:rPr>
              <w:t>American,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i/>
                <w:iCs/>
                <w:sz w:val="13"/>
                <w:szCs w:val="15"/>
              </w:rPr>
              <w:t>European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i/>
                <w:iCs/>
                <w:sz w:val="13"/>
                <w:szCs w:val="15"/>
              </w:rPr>
              <w:t>etc.</w:t>
            </w:r>
          </w:p>
        </w:tc>
        <w:tc>
          <w:tcPr>
            <w:tcW w:w="505" w:type="pct"/>
            <w:hideMark/>
          </w:tcPr>
          <w:p w14:paraId="005E3273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3"/>
              </w:rPr>
            </w:pP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Expiry</w:t>
            </w:r>
            <w:r w:rsidRPr="00200D7E">
              <w:rPr>
                <w:rFonts w:ascii="Arial" w:eastAsia="Times New Roman" w:hAnsi="Arial"/>
                <w:sz w:val="13"/>
              </w:rPr>
              <w:t xml:space="preserve"> </w:t>
            </w:r>
            <w:r>
              <w:rPr>
                <w:rFonts w:ascii="Arial" w:eastAsia="Times New Roman" w:hAnsi="Arial"/>
                <w:sz w:val="13"/>
              </w:rPr>
              <w:br/>
            </w:r>
            <w:r w:rsidRPr="00200D7E"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date</w:t>
            </w:r>
          </w:p>
        </w:tc>
      </w:tr>
      <w:tr w:rsidR="001A0ECD" w:rsidRPr="00200D7E" w14:paraId="4DB0FCF5" w14:textId="77777777" w:rsidTr="001A0ECD">
        <w:trPr>
          <w:divId w:val="181632622"/>
        </w:trPr>
        <w:tc>
          <w:tcPr>
            <w:tcW w:w="739" w:type="pct"/>
          </w:tcPr>
          <w:p w14:paraId="0A5DD822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</w:p>
        </w:tc>
        <w:tc>
          <w:tcPr>
            <w:tcW w:w="805" w:type="pct"/>
          </w:tcPr>
          <w:p w14:paraId="4D394E04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  <w:t> </w:t>
            </w:r>
          </w:p>
        </w:tc>
        <w:tc>
          <w:tcPr>
            <w:tcW w:w="740" w:type="pct"/>
          </w:tcPr>
          <w:p w14:paraId="2A72DC1A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</w:p>
        </w:tc>
        <w:tc>
          <w:tcPr>
            <w:tcW w:w="860" w:type="pct"/>
          </w:tcPr>
          <w:p w14:paraId="13729376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</w:p>
        </w:tc>
        <w:tc>
          <w:tcPr>
            <w:tcW w:w="664" w:type="pct"/>
          </w:tcPr>
          <w:p w14:paraId="2D8FCA52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</w:p>
        </w:tc>
        <w:tc>
          <w:tcPr>
            <w:tcW w:w="686" w:type="pct"/>
          </w:tcPr>
          <w:p w14:paraId="005164F7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</w:p>
        </w:tc>
        <w:tc>
          <w:tcPr>
            <w:tcW w:w="505" w:type="pct"/>
          </w:tcPr>
          <w:p w14:paraId="4D9AFB8C" w14:textId="77777777" w:rsidR="001A0ECD" w:rsidRPr="00200D7E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3"/>
                <w:szCs w:val="15"/>
              </w:rPr>
            </w:pPr>
          </w:p>
        </w:tc>
      </w:tr>
    </w:tbl>
    <w:p w14:paraId="19E515BA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047F486E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1440" w:right="720" w:hanging="720"/>
        <w:jc w:val="both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>3.</w:t>
      </w:r>
      <w:r>
        <w:rPr>
          <w:rFonts w:ascii="Arial" w:hAnsi="Arial" w:cs="Arial"/>
          <w:b/>
          <w:bCs/>
          <w:sz w:val="17"/>
          <w:szCs w:val="15"/>
        </w:rPr>
        <w:tab/>
      </w:r>
      <w:r w:rsidRPr="00C759D8">
        <w:rPr>
          <w:rFonts w:ascii="Arial" w:hAnsi="Arial" w:cs="Arial"/>
          <w:b/>
          <w:bCs/>
          <w:sz w:val="17"/>
          <w:szCs w:val="15"/>
        </w:rPr>
        <w:t>AGREEMENTS TO PURCHASE OR SELL</w:t>
      </w:r>
    </w:p>
    <w:p w14:paraId="220A5EDB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tbl>
      <w:tblPr>
        <w:tblW w:w="3951" w:type="pct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</w:tblGrid>
      <w:tr w:rsidR="001A0ECD" w:rsidRPr="00C759D8" w14:paraId="444BD6FD" w14:textId="77777777" w:rsidTr="001A0ECD">
        <w:trPr>
          <w:divId w:val="181632622"/>
        </w:trPr>
        <w:tc>
          <w:tcPr>
            <w:tcW w:w="5000" w:type="pct"/>
            <w:hideMark/>
          </w:tcPr>
          <w:p w14:paraId="02E5C88F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jc w:val="both"/>
              <w:rPr>
                <w:rFonts w:ascii="Arial" w:eastAsia="Times New Roman" w:hAnsi="Arial"/>
                <w:sz w:val="17"/>
              </w:rPr>
            </w:pP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Full details should be given so that the nature of the interest or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position can be fully understood:</w:t>
            </w:r>
          </w:p>
        </w:tc>
      </w:tr>
      <w:tr w:rsidR="001A0ECD" w:rsidRPr="00C759D8" w14:paraId="5A437FBA" w14:textId="77777777" w:rsidTr="001A0ECD">
        <w:trPr>
          <w:divId w:val="181632622"/>
        </w:trPr>
        <w:tc>
          <w:tcPr>
            <w:tcW w:w="5000" w:type="pct"/>
          </w:tcPr>
          <w:p w14:paraId="2C8374DE" w14:textId="77777777" w:rsidR="001A0ECD" w:rsidRDefault="001A0ECD" w:rsidP="00E738E0">
            <w:pPr>
              <w:widowControl w:val="0"/>
              <w:spacing w:before="60" w:after="60"/>
              <w:ind w:left="60" w:right="60"/>
              <w:jc w:val="both"/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</w:pPr>
          </w:p>
          <w:p w14:paraId="4A2721AB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jc w:val="both"/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</w:pPr>
          </w:p>
        </w:tc>
      </w:tr>
    </w:tbl>
    <w:p w14:paraId="6A87DDE8" w14:textId="77777777" w:rsidR="001A0ECD" w:rsidRPr="00C759D8" w:rsidRDefault="001A0ECD" w:rsidP="001A0ECD">
      <w:pPr>
        <w:widowControl w:val="0"/>
        <w:ind w:left="720" w:right="720"/>
        <w:jc w:val="both"/>
        <w:divId w:val="181632622"/>
        <w:rPr>
          <w:rFonts w:ascii="Arial" w:eastAsia="Times New Roman" w:hAnsi="Arial"/>
          <w:sz w:val="17"/>
        </w:rPr>
      </w:pPr>
      <w:r w:rsidRPr="00C759D8">
        <w:rPr>
          <w:rFonts w:ascii="Arial" w:eastAsia="Times New Roman" w:hAnsi="Arial"/>
          <w:sz w:val="17"/>
        </w:rPr>
        <w:br w:type="page"/>
      </w:r>
    </w:p>
    <w:p w14:paraId="7958F73A" w14:textId="77777777" w:rsidR="001A0ECD" w:rsidRPr="004D6769" w:rsidRDefault="001A0ECD" w:rsidP="001A0ECD">
      <w:pPr>
        <w:pStyle w:val="NormalWeb"/>
        <w:widowControl w:val="0"/>
        <w:spacing w:before="0" w:beforeAutospacing="0" w:after="0" w:afterAutospacing="0"/>
        <w:jc w:val="right"/>
        <w:divId w:val="181632622"/>
        <w:rPr>
          <w:rFonts w:ascii="Arial" w:hAnsi="Arial"/>
          <w:sz w:val="20"/>
        </w:rPr>
      </w:pPr>
      <w:bookmarkStart w:id="1" w:name="_bclPageBorder57"/>
      <w:bookmarkEnd w:id="1"/>
      <w:r w:rsidRPr="004D6769">
        <w:rPr>
          <w:rFonts w:ascii="Arial" w:hAnsi="Arial" w:cs="Arial"/>
          <w:b/>
          <w:bCs/>
          <w:sz w:val="20"/>
          <w:szCs w:val="20"/>
        </w:rPr>
        <w:lastRenderedPageBreak/>
        <w:t>Ap33</w:t>
      </w:r>
    </w:p>
    <w:p w14:paraId="65116620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6787D5C7" w14:textId="77777777" w:rsidR="001A0ECD" w:rsidRDefault="001A0ECD" w:rsidP="001A0ECD">
      <w:pPr>
        <w:pStyle w:val="NormalWeb"/>
        <w:widowControl w:val="0"/>
        <w:spacing w:before="0" w:beforeAutospacing="0" w:after="0" w:afterAutospacing="0"/>
        <w:ind w:left="1440" w:right="720" w:hanging="720"/>
        <w:divId w:val="181632622"/>
        <w:rPr>
          <w:rFonts w:ascii="Arial" w:hAnsi="Arial" w:cs="Arial"/>
          <w:b/>
          <w:bCs/>
          <w:sz w:val="17"/>
          <w:szCs w:val="15"/>
        </w:rPr>
      </w:pPr>
      <w:r w:rsidRPr="00C759D8">
        <w:rPr>
          <w:rFonts w:ascii="Arial" w:hAnsi="Arial" w:cs="Arial"/>
          <w:b/>
          <w:bCs/>
          <w:sz w:val="17"/>
          <w:szCs w:val="15"/>
        </w:rPr>
        <w:t>4.</w:t>
      </w:r>
      <w:r>
        <w:rPr>
          <w:rFonts w:ascii="Arial" w:hAnsi="Arial" w:cs="Arial"/>
          <w:b/>
          <w:bCs/>
          <w:sz w:val="17"/>
          <w:szCs w:val="15"/>
        </w:rPr>
        <w:tab/>
      </w:r>
      <w:r w:rsidRPr="00C759D8">
        <w:rPr>
          <w:rFonts w:ascii="Arial" w:hAnsi="Arial" w:cs="Arial"/>
          <w:b/>
          <w:bCs/>
          <w:sz w:val="17"/>
          <w:szCs w:val="15"/>
        </w:rPr>
        <w:t>RIGHTS TO SUBSCRIBE FOR NEW SECURITIES (INCLUDING</w:t>
      </w:r>
      <w:r>
        <w:rPr>
          <w:rFonts w:ascii="Arial" w:hAnsi="Arial" w:cs="Arial"/>
          <w:b/>
          <w:bCs/>
          <w:sz w:val="17"/>
          <w:szCs w:val="15"/>
        </w:rPr>
        <w:t xml:space="preserve"> </w:t>
      </w:r>
      <w:r w:rsidRPr="00C759D8">
        <w:rPr>
          <w:rFonts w:ascii="Arial" w:hAnsi="Arial" w:cs="Arial"/>
          <w:b/>
          <w:bCs/>
          <w:sz w:val="17"/>
          <w:szCs w:val="15"/>
        </w:rPr>
        <w:t>DIRECTORS’ AND OTHER EMPLOYEE OPTIONS)</w:t>
      </w:r>
    </w:p>
    <w:p w14:paraId="612132AB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1440"/>
        <w:divId w:val="181632622"/>
        <w:rPr>
          <w:rFonts w:ascii="Arial" w:hAnsi="Arial"/>
          <w:sz w:val="17"/>
        </w:rPr>
      </w:pPr>
    </w:p>
    <w:tbl>
      <w:tblPr>
        <w:tblW w:w="3953" w:type="pct"/>
        <w:tblInd w:w="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747"/>
      </w:tblGrid>
      <w:tr w:rsidR="001A0ECD" w:rsidRPr="00C759D8" w14:paraId="6D7402D9" w14:textId="77777777" w:rsidTr="001A0ECD">
        <w:trPr>
          <w:divId w:val="181632622"/>
          <w:trHeight w:val="690"/>
        </w:trPr>
        <w:tc>
          <w:tcPr>
            <w:tcW w:w="2495" w:type="pct"/>
            <w:hideMark/>
          </w:tcPr>
          <w:p w14:paraId="51A1C23B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7"/>
              </w:rPr>
            </w:pP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Class of relevant security in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relation to which subscription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right exists:</w:t>
            </w:r>
          </w:p>
        </w:tc>
        <w:tc>
          <w:tcPr>
            <w:tcW w:w="2505" w:type="pct"/>
          </w:tcPr>
          <w:p w14:paraId="45A531CB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</w:pPr>
          </w:p>
        </w:tc>
      </w:tr>
      <w:tr w:rsidR="001A0ECD" w:rsidRPr="00C759D8" w14:paraId="4CFEFDF3" w14:textId="77777777" w:rsidTr="001A0ECD">
        <w:trPr>
          <w:divId w:val="181632622"/>
          <w:trHeight w:val="690"/>
        </w:trPr>
        <w:tc>
          <w:tcPr>
            <w:tcW w:w="2495" w:type="pct"/>
            <w:hideMark/>
          </w:tcPr>
          <w:p w14:paraId="169E3153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/>
                <w:sz w:val="17"/>
              </w:rPr>
            </w:pP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Details, including nature of the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rights concerned and relevant</w:t>
            </w:r>
            <w:r>
              <w:rPr>
                <w:rFonts w:ascii="Arial" w:eastAsia="Times New Roman" w:hAnsi="Arial"/>
                <w:sz w:val="17"/>
              </w:rPr>
              <w:t xml:space="preserve"> </w:t>
            </w:r>
            <w:r w:rsidRPr="00C759D8"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  <w:t>percentages:</w:t>
            </w:r>
          </w:p>
        </w:tc>
        <w:tc>
          <w:tcPr>
            <w:tcW w:w="2505" w:type="pct"/>
          </w:tcPr>
          <w:p w14:paraId="4DD7059C" w14:textId="77777777" w:rsidR="001A0ECD" w:rsidRPr="00C759D8" w:rsidRDefault="001A0ECD" w:rsidP="00E738E0">
            <w:pPr>
              <w:widowControl w:val="0"/>
              <w:spacing w:before="60" w:after="60"/>
              <w:ind w:left="60" w:right="60"/>
              <w:rPr>
                <w:rFonts w:ascii="Arial" w:eastAsia="Times New Roman" w:hAnsi="Arial" w:cs="Arial"/>
                <w:b/>
                <w:bCs/>
                <w:sz w:val="17"/>
                <w:szCs w:val="15"/>
              </w:rPr>
            </w:pPr>
          </w:p>
        </w:tc>
      </w:tr>
    </w:tbl>
    <w:p w14:paraId="6D6129AB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43886F85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  <w:r w:rsidRPr="00C759D8">
        <w:rPr>
          <w:rFonts w:ascii="Arial" w:hAnsi="Arial" w:cs="Arial"/>
          <w:i/>
          <w:iCs/>
          <w:sz w:val="17"/>
          <w:szCs w:val="15"/>
        </w:rPr>
        <w:t>It is not necessary to provide details on a Supplemental Form with regard to cash-settled derivatives.</w:t>
      </w:r>
    </w:p>
    <w:p w14:paraId="642B1875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645623DB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  <w:r w:rsidRPr="00C759D8">
        <w:rPr>
          <w:rFonts w:ascii="Arial" w:hAnsi="Arial" w:cs="Arial"/>
          <w:i/>
          <w:iCs/>
          <w:sz w:val="17"/>
          <w:szCs w:val="15"/>
        </w:rPr>
        <w:t>The currency of all prices and other monetary amounts should be stated.</w:t>
      </w:r>
    </w:p>
    <w:p w14:paraId="57AA8337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4378BC15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  <w:r w:rsidRPr="00C759D8">
        <w:rPr>
          <w:rFonts w:ascii="Arial" w:hAnsi="Arial" w:cs="Arial"/>
          <w:b/>
          <w:bCs/>
          <w:i/>
          <w:iCs/>
          <w:sz w:val="17"/>
          <w:szCs w:val="15"/>
        </w:rPr>
        <w:t>For full details of disclosure requirements, see Rule 8 of the Rules. If in doubt, consult the Panel.</w:t>
      </w:r>
    </w:p>
    <w:p w14:paraId="09D44913" w14:textId="77777777" w:rsidR="001A0ECD" w:rsidRPr="00C759D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sz w:val="17"/>
        </w:rPr>
      </w:pPr>
    </w:p>
    <w:p w14:paraId="30041068" w14:textId="77777777" w:rsidR="001A0ECD" w:rsidRPr="00172448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/>
          <w:b/>
          <w:sz w:val="17"/>
        </w:rPr>
      </w:pPr>
      <w:r w:rsidRPr="00172448">
        <w:rPr>
          <w:rFonts w:ascii="Arial" w:hAnsi="Arial" w:cs="Arial"/>
          <w:b/>
          <w:i/>
          <w:iCs/>
          <w:sz w:val="17"/>
          <w:szCs w:val="15"/>
        </w:rPr>
        <w:t>References in these notes to “the Rules” are to the Irish Takeover Panel Act, 1997, Takeover Rules, 2022.</w:t>
      </w:r>
      <w:bookmarkStart w:id="2" w:name="_GoBack"/>
      <w:bookmarkEnd w:id="2"/>
    </w:p>
    <w:sectPr w:rsidR="001A0ECD" w:rsidRPr="00172448" w:rsidSect="002E021A">
      <w:pgSz w:w="8395" w:h="11909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E21"/>
    <w:multiLevelType w:val="hybridMultilevel"/>
    <w:tmpl w:val="B46E79D2"/>
    <w:lvl w:ilvl="0" w:tplc="B6627A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C2E9C"/>
    <w:multiLevelType w:val="hybridMultilevel"/>
    <w:tmpl w:val="FABED69E"/>
    <w:lvl w:ilvl="0" w:tplc="5ECEA2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C3151"/>
    <w:multiLevelType w:val="hybridMultilevel"/>
    <w:tmpl w:val="4F0AB188"/>
    <w:lvl w:ilvl="0" w:tplc="EA4CF256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54EEB"/>
    <w:multiLevelType w:val="hybridMultilevel"/>
    <w:tmpl w:val="357A16F2"/>
    <w:lvl w:ilvl="0" w:tplc="3BEE896A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8566E"/>
    <w:multiLevelType w:val="hybridMultilevel"/>
    <w:tmpl w:val="5F70B16C"/>
    <w:lvl w:ilvl="0" w:tplc="2B908F2E">
      <w:start w:val="1"/>
      <w:numFmt w:val="decimal"/>
      <w:lvlText w:val="3.%1"/>
      <w:lvlJc w:val="left"/>
      <w:pPr>
        <w:ind w:left="1440" w:hanging="360"/>
      </w:pPr>
      <w:rPr>
        <w:rFonts w:ascii="Arial" w:hAnsi="Arial" w:cs="Arial" w:hint="default"/>
        <w:sz w:val="17"/>
        <w:szCs w:val="17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303A82"/>
    <w:multiLevelType w:val="hybridMultilevel"/>
    <w:tmpl w:val="065C4AF4"/>
    <w:lvl w:ilvl="0" w:tplc="D7EAE69C">
      <w:start w:val="1"/>
      <w:numFmt w:val="decimal"/>
      <w:lvlText w:val="2.%1"/>
      <w:lvlJc w:val="left"/>
      <w:pPr>
        <w:ind w:left="1440" w:hanging="360"/>
      </w:pPr>
      <w:rPr>
        <w:rFonts w:ascii="Arial" w:hAnsi="Arial" w:cs="Arial" w:hint="default"/>
        <w:sz w:val="17"/>
        <w:szCs w:val="17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3B063C"/>
    <w:multiLevelType w:val="hybridMultilevel"/>
    <w:tmpl w:val="91C8383A"/>
    <w:lvl w:ilvl="0" w:tplc="A7E487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01"/>
    <w:rsid w:val="000B2A25"/>
    <w:rsid w:val="00100810"/>
    <w:rsid w:val="001A0ECD"/>
    <w:rsid w:val="002C2204"/>
    <w:rsid w:val="002E021A"/>
    <w:rsid w:val="00320F84"/>
    <w:rsid w:val="00330C4B"/>
    <w:rsid w:val="004C75F4"/>
    <w:rsid w:val="004E2D6F"/>
    <w:rsid w:val="00597946"/>
    <w:rsid w:val="00644737"/>
    <w:rsid w:val="007102D1"/>
    <w:rsid w:val="00715A01"/>
    <w:rsid w:val="00771020"/>
    <w:rsid w:val="008049B5"/>
    <w:rsid w:val="00900367"/>
    <w:rsid w:val="009232E8"/>
    <w:rsid w:val="00A8020B"/>
    <w:rsid w:val="00A951C9"/>
    <w:rsid w:val="00AF5101"/>
    <w:rsid w:val="00B801EA"/>
    <w:rsid w:val="00BD3A0B"/>
    <w:rsid w:val="00C52D4D"/>
    <w:rsid w:val="00C745B5"/>
    <w:rsid w:val="00CF296D"/>
    <w:rsid w:val="00D318D3"/>
    <w:rsid w:val="00D5355A"/>
    <w:rsid w:val="00D64E50"/>
    <w:rsid w:val="00DF0168"/>
    <w:rsid w:val="00DF5EAD"/>
    <w:rsid w:val="00E738E0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B696D"/>
  <w15:docId w15:val="{A42FA890-2D58-4E1A-9782-DD929BC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296D"/>
    <w:pPr>
      <w:ind w:left="720"/>
      <w:contextualSpacing/>
    </w:pPr>
  </w:style>
  <w:style w:type="character" w:customStyle="1" w:styleId="A23">
    <w:name w:val="A2+3"/>
    <w:uiPriority w:val="99"/>
    <w:rsid w:val="001A0ECD"/>
    <w:rPr>
      <w:rFonts w:cs="Helvetica"/>
      <w:b/>
      <w:bCs/>
      <w:color w:val="000000"/>
      <w:sz w:val="13"/>
      <w:szCs w:val="13"/>
    </w:rPr>
  </w:style>
  <w:style w:type="table" w:styleId="TableGrid">
    <w:name w:val="Table Grid"/>
    <w:basedOn w:val="TableNormal"/>
    <w:uiPriority w:val="59"/>
    <w:rsid w:val="001A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14</cp:revision>
  <cp:lastPrinted>2022-06-18T10:10:00Z</cp:lastPrinted>
  <dcterms:created xsi:type="dcterms:W3CDTF">2022-06-18T01:33:00Z</dcterms:created>
  <dcterms:modified xsi:type="dcterms:W3CDTF">2022-06-18T10:10:00Z</dcterms:modified>
</cp:coreProperties>
</file>